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 xml:space="preserve">3GPP TSG-RAN WG2 Meeting #119-e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R2-220</w:t>
      </w:r>
      <w:r>
        <w:rPr>
          <w:rFonts w:hint="eastAsia" w:ascii="Arial" w:hAnsi="Arial" w:eastAsia="宋体" w:cs="Arial"/>
          <w:b/>
          <w:kern w:val="0"/>
          <w:sz w:val="22"/>
          <w:lang w:val="en-US" w:eastAsia="zh-CN"/>
        </w:rPr>
        <w:t>8447</w:t>
      </w:r>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ascii="Arial" w:hAnsi="Arial" w:eastAsia="宋体" w:cs="Arial"/>
          <w:b/>
          <w:bCs/>
          <w:kern w:val="0"/>
          <w:sz w:val="24"/>
          <w:szCs w:val="24"/>
          <w:lang w:val="en-GB"/>
        </w:rPr>
        <w:t>Electronic Meeting, 17 – 29 August,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lang w:val="en-GB"/>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8.1.2</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on the network-controlled repeater</w:t>
      </w:r>
      <w:r>
        <w:rPr>
          <w:rFonts w:hint="eastAsia" w:ascii="Arial" w:hAnsi="Arial" w:eastAsia="宋体" w:cs="Arial"/>
          <w:b/>
          <w:bCs/>
          <w:kern w:val="0"/>
          <w:sz w:val="24"/>
          <w:szCs w:val="20"/>
        </w:rPr>
        <w:t xml:space="preserve"> management</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FS_NR_NetCon</w:t>
      </w:r>
      <w:r>
        <w:rPr>
          <w:rFonts w:hint="eastAsia" w:ascii="Arial" w:hAnsi="Arial" w:eastAsia="宋体" w:cs="Arial"/>
          <w:b/>
          <w:bCs/>
          <w:kern w:val="0"/>
          <w:sz w:val="24"/>
          <w:szCs w:val="20"/>
          <w:lang w:val="en-US" w:eastAsia="zh-CN"/>
        </w:rPr>
        <w:t>_</w:t>
      </w:r>
      <w:r>
        <w:rPr>
          <w:rFonts w:ascii="Arial" w:hAnsi="Arial" w:eastAsia="宋体" w:cs="Arial"/>
          <w:b/>
          <w:bCs/>
          <w:kern w:val="0"/>
          <w:sz w:val="24"/>
          <w:szCs w:val="20"/>
          <w:lang w:val="en-GB" w:eastAsia="en-US"/>
        </w:rPr>
        <w:t>Repeater</w:t>
      </w:r>
      <w:bookmarkStart w:id="2" w:name="_GoBack"/>
      <w:bookmarkEnd w:id="2"/>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RAN#94</w:t>
      </w:r>
      <w:r>
        <w:rPr>
          <w:rFonts w:hint="eastAsia" w:ascii="Arial" w:hAnsi="Arial" w:eastAsia="宋体" w:cs="Arial"/>
          <w:kern w:val="0"/>
          <w:sz w:val="20"/>
          <w:szCs w:val="20"/>
          <w:lang w:val="en-GB"/>
        </w:rPr>
        <w:t>-e</w:t>
      </w:r>
      <w:r>
        <w:rPr>
          <w:rFonts w:ascii="Arial" w:hAnsi="Arial" w:eastAsia="宋体" w:cs="Arial"/>
          <w:kern w:val="0"/>
          <w:sz w:val="20"/>
          <w:szCs w:val="20"/>
          <w:lang w:val="en-GB" w:eastAsia="en-US"/>
        </w:rPr>
        <w:t>, a new SID “</w:t>
      </w:r>
      <w:r>
        <w:rPr>
          <w:rFonts w:ascii="Arial" w:hAnsi="Arial" w:eastAsia="宋体" w:cs="Arial"/>
          <w:kern w:val="0"/>
          <w:sz w:val="20"/>
          <w:szCs w:val="20"/>
          <w:lang w:val="en-GB"/>
        </w:rPr>
        <w:t>Study on NR Network-controlled Repeaters</w:t>
      </w:r>
      <w:r>
        <w:rPr>
          <w:rFonts w:ascii="Arial" w:hAnsi="Arial" w:eastAsia="宋体" w:cs="Arial"/>
          <w:kern w:val="0"/>
          <w:sz w:val="20"/>
          <w:szCs w:val="20"/>
          <w:lang w:val="en-GB" w:eastAsia="en-US"/>
        </w:rPr>
        <w:t xml:space="preserve">” [1] was agreed, and one of the objectives is about </w:t>
      </w:r>
      <w:r>
        <w:rPr>
          <w:rFonts w:ascii="Arial" w:hAnsi="Arial" w:eastAsia="宋体" w:cs="Arial"/>
          <w:kern w:val="0"/>
          <w:sz w:val="20"/>
          <w:szCs w:val="20"/>
          <w:lang w:val="en-GB"/>
        </w:rPr>
        <w:t>network-controlled repeater management</w:t>
      </w:r>
      <w:r>
        <w:rPr>
          <w:rFonts w:ascii="Arial" w:hAnsi="Arial" w:eastAsia="宋体" w:cs="Arial"/>
          <w:kern w:val="0"/>
          <w:sz w:val="20"/>
          <w:szCs w:val="20"/>
          <w:lang w:val="en-GB" w:eastAsia="en-US"/>
        </w:rPr>
        <w:t xml:space="preserve"> as following: </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widowControl/>
              <w:jc w:val="left"/>
              <w:rPr>
                <w:rFonts w:ascii="Arial Unicode MS" w:hAnsi="Arial Unicode MS" w:eastAsia="Arial Unicode MS" w:cs="Arial Unicode MS"/>
                <w:bCs/>
                <w:kern w:val="0"/>
                <w:sz w:val="20"/>
                <w:szCs w:val="20"/>
                <w:lang w:val="en-GB" w:eastAsia="en-GB"/>
              </w:rPr>
            </w:pPr>
            <w:r>
              <w:rPr>
                <w:rFonts w:ascii="Arial Unicode MS" w:hAnsi="Arial Unicode MS" w:eastAsia="Arial Unicode MS" w:cs="Arial Unicode MS"/>
                <w:kern w:val="0"/>
                <w:sz w:val="20"/>
                <w:szCs w:val="20"/>
                <w:lang w:val="en-GB" w:eastAsia="en-GB"/>
              </w:rPr>
              <w:t>Study the following aspects of network-controlled repeater management</w:t>
            </w:r>
          </w:p>
          <w:p>
            <w:pPr>
              <w:widowControl/>
              <w:numPr>
                <w:ilvl w:val="0"/>
                <w:numId w:val="1"/>
              </w:numPr>
              <w:overflowPunct w:val="0"/>
              <w:autoSpaceDE w:val="0"/>
              <w:autoSpaceDN w:val="0"/>
              <w:adjustRightInd w:val="0"/>
              <w:jc w:val="left"/>
              <w:textAlignment w:val="baseline"/>
              <w:rPr>
                <w:rFonts w:ascii="Arial Unicode MS" w:hAnsi="Arial Unicode MS" w:eastAsia="Arial Unicode MS" w:cs="Arial Unicode MS"/>
                <w:kern w:val="0"/>
                <w:sz w:val="20"/>
                <w:szCs w:val="20"/>
                <w:lang w:val="en-GB" w:eastAsia="en-GB"/>
              </w:rPr>
            </w:pPr>
            <w:r>
              <w:rPr>
                <w:rFonts w:ascii="Arial Unicode MS" w:hAnsi="Arial Unicode MS" w:eastAsia="Arial Unicode MS" w:cs="Arial Unicode MS"/>
                <w:kern w:val="0"/>
                <w:sz w:val="20"/>
                <w:szCs w:val="20"/>
                <w:lang w:val="en-GB" w:eastAsia="en-GB"/>
              </w:rPr>
              <w:t>Identification and authorization of network-controlled repeaters [RAN2, RAN3]</w:t>
            </w:r>
          </w:p>
          <w:p>
            <w:pPr>
              <w:widowControl/>
              <w:ind w:left="360"/>
              <w:jc w:val="left"/>
              <w:rPr>
                <w:rFonts w:ascii="Times New Roman" w:hAnsi="Times New Roman" w:eastAsia="宋体" w:cs="Times New Roman"/>
                <w:kern w:val="0"/>
                <w:sz w:val="20"/>
                <w:szCs w:val="20"/>
                <w:lang w:val="en-GB" w:eastAsia="en-GB"/>
              </w:rPr>
            </w:pPr>
            <w:r>
              <w:rPr>
                <w:rFonts w:hint="eastAsia" w:ascii="Arial Unicode MS" w:hAnsi="Arial Unicode MS" w:eastAsia="Arial Unicode MS" w:cs="Arial Unicode MS"/>
                <w:kern w:val="0"/>
                <w:sz w:val="20"/>
                <w:szCs w:val="20"/>
                <w:lang w:val="en-GB" w:eastAsia="en-GB"/>
              </w:rPr>
              <w:t>NOTE</w:t>
            </w:r>
            <w:r>
              <w:rPr>
                <w:rFonts w:ascii="Arial Unicode MS" w:hAnsi="Arial Unicode MS" w:eastAsia="Arial Unicode MS" w:cs="Arial Unicode MS"/>
                <w:kern w:val="0"/>
                <w:sz w:val="20"/>
                <w:szCs w:val="20"/>
                <w:lang w:val="en-GB" w:eastAsia="en-GB"/>
              </w:rPr>
              <w:t>2</w:t>
            </w:r>
            <w:r>
              <w:rPr>
                <w:rFonts w:hint="eastAsia" w:ascii="Arial Unicode MS" w:hAnsi="Arial Unicode MS" w:eastAsia="Arial Unicode MS" w:cs="Arial Unicode MS"/>
                <w:kern w:val="0"/>
                <w:sz w:val="20"/>
                <w:szCs w:val="20"/>
                <w:lang w:val="en-GB" w:eastAsia="en-GB"/>
              </w:rPr>
              <w:t xml:space="preserve">: </w:t>
            </w:r>
            <w:r>
              <w:rPr>
                <w:rFonts w:ascii="Arial Unicode MS" w:hAnsi="Arial Unicode MS" w:eastAsia="Arial Unicode MS" w:cs="Arial Unicode MS"/>
                <w:kern w:val="0"/>
                <w:sz w:val="20"/>
                <w:szCs w:val="20"/>
                <w:lang w:val="en-GB" w:eastAsia="en-GB"/>
              </w:rPr>
              <w:t>Coordination with SA3 may be needed.</w:t>
            </w:r>
          </w:p>
        </w:tc>
      </w:tr>
    </w:tbl>
    <w:p>
      <w:pPr>
        <w:widowControl/>
        <w:spacing w:after="180"/>
        <w:rPr>
          <w:rFonts w:ascii="Arial" w:hAnsi="Arial" w:eastAsia="宋体" w:cs="Arial"/>
          <w:kern w:val="0"/>
          <w:sz w:val="20"/>
          <w:szCs w:val="20"/>
          <w:lang w:val="en-GB"/>
        </w:rPr>
      </w:pPr>
    </w:p>
    <w:p>
      <w:pPr>
        <w:widowControl/>
        <w:spacing w:after="180"/>
      </w:pPr>
      <w:r>
        <w:rPr>
          <w:rFonts w:ascii="Arial" w:hAnsi="Arial" w:eastAsia="宋体" w:cs="Arial"/>
          <w:kern w:val="0"/>
          <w:sz w:val="20"/>
          <w:szCs w:val="20"/>
          <w:lang w:val="en-GB"/>
        </w:rPr>
        <w:t>And in RAN1#109-e meeting, the modelling of network-controlled repeater was agreed as Figure 1-1 which is specified in TR 38.876 [2]. The network-controlled repeater includes the NCR-MT and NCR-Fwd.</w:t>
      </w:r>
      <w:r>
        <w:t xml:space="preserve"> </w:t>
      </w: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The NCR-MT is defined as a function entity to communicate with a gNB via Control link (C-link) to enable the information exchanges (e.g. side control information at least for the control of NCR-Fwd). The C-link is based on NR Uu interface.</w:t>
      </w: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The NCR-Fwd is defined as a function entity to perform the amplify-and-forwarding of UL/DL RF signal between gNB and UE via backhaul link and access link. The behaviour of the NCR-Fwd will be controlled according to the received side control information from gNB.</w:t>
      </w:r>
    </w:p>
    <w:p>
      <w:pPr>
        <w:pStyle w:val="9"/>
        <w:rPr>
          <w:color w:val="000000"/>
        </w:rPr>
      </w:pPr>
      <w:r>
        <w:rPr>
          <w:color w:val="000000"/>
          <w:lang w:eastAsia="ko-KR"/>
        </w:rPr>
        <w:drawing>
          <wp:inline distT="0" distB="0" distL="0" distR="0">
            <wp:extent cx="3745865" cy="923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745865" cy="923925"/>
                    </a:xfrm>
                    <a:prstGeom prst="rect">
                      <a:avLst/>
                    </a:prstGeom>
                    <a:noFill/>
                    <a:ln>
                      <a:noFill/>
                    </a:ln>
                  </pic:spPr>
                </pic:pic>
              </a:graphicData>
            </a:graphic>
          </wp:inline>
        </w:drawing>
      </w:r>
    </w:p>
    <w:p>
      <w:pPr>
        <w:pStyle w:val="10"/>
        <w:rPr>
          <w:rFonts w:ascii="Times" w:hAnsi="Times" w:cs="Times"/>
          <w:color w:val="000000"/>
        </w:rPr>
      </w:pPr>
      <w:bookmarkStart w:id="0" w:name="_Hlk110506759"/>
      <w:r>
        <w:rPr>
          <w:color w:val="000000"/>
        </w:rPr>
        <w:t>Figure 1-1: Conceptual model of Network-controlled repeater</w:t>
      </w:r>
      <w:bookmarkEnd w:id="0"/>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This contribution will discuss the potential solutions and impacts for identification and authorization of network-controlled repeaters.</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2</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Discussion</w:t>
      </w:r>
    </w:p>
    <w:p>
      <w:pPr>
        <w:keepNext/>
        <w:keepLines/>
        <w:widowControl/>
        <w:spacing w:before="180" w:after="180"/>
        <w:ind w:left="1134" w:hanging="1134"/>
        <w:jc w:val="left"/>
        <w:outlineLvl w:val="1"/>
        <w:rPr>
          <w:rFonts w:ascii="Arial" w:hAnsi="Arial" w:eastAsia="宋体" w:cs="Arial"/>
          <w:kern w:val="0"/>
          <w:sz w:val="32"/>
          <w:szCs w:val="20"/>
          <w:lang w:val="en-GB" w:eastAsia="en-US"/>
        </w:rPr>
      </w:pPr>
      <w:r>
        <w:rPr>
          <w:rFonts w:ascii="Arial" w:hAnsi="Arial" w:eastAsia="宋体" w:cs="Arial"/>
          <w:kern w:val="0"/>
          <w:sz w:val="32"/>
          <w:szCs w:val="20"/>
          <w:lang w:val="en-GB"/>
        </w:rPr>
        <w:t>2.1</w:t>
      </w:r>
      <w:r>
        <w:rPr>
          <w:rFonts w:ascii="Arial" w:hAnsi="Arial" w:eastAsia="宋体" w:cs="Arial"/>
          <w:kern w:val="0"/>
          <w:sz w:val="32"/>
          <w:szCs w:val="20"/>
          <w:lang w:val="en-GB"/>
        </w:rPr>
        <w:tab/>
      </w:r>
      <w:r>
        <w:rPr>
          <w:rFonts w:ascii="Arial" w:hAnsi="Arial" w:eastAsia="宋体" w:cs="Arial"/>
          <w:kern w:val="0"/>
          <w:sz w:val="32"/>
          <w:szCs w:val="20"/>
          <w:lang w:val="en-GB"/>
        </w:rPr>
        <w:t>Discussion on the requirements on the identification and authorization of NCR</w:t>
      </w: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A network-controlled repeater is an enhancement over conventional RF repeaters with the capability to receive and process side control information from the network. Side control information could allow a network-controlled repeater to perform amplify-and-forward operation in a more efficient manner. Potential benefits could include mitigation of unnecessary noise amplification, transmissions and receptions with better spatial directivity, and simplified network integration. </w:t>
      </w:r>
    </w:p>
    <w:p>
      <w:pPr>
        <w:widowControl/>
        <w:spacing w:after="180"/>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For identification: </w:t>
      </w: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As specified in TR 38.876 [2], the side control information includes beam information, timing information, UL-DL TDD configuration information, ON-OFF information, power control information, etc. This side control information is NCR-specific and provided by gNB, so the identification is essential to differentiate the NCR with other device type and gNB can provide NCR-specific control information based on this identification. </w:t>
      </w:r>
    </w:p>
    <w:p>
      <w:pPr>
        <w:widowControl/>
        <w:spacing w:after="180"/>
        <w:rPr>
          <w:rFonts w:ascii="Arial" w:hAnsi="Arial" w:eastAsia="宋体" w:cs="Arial"/>
          <w:kern w:val="0"/>
          <w:sz w:val="20"/>
          <w:szCs w:val="20"/>
          <w:lang w:val="en-GB"/>
        </w:rPr>
      </w:pPr>
      <w:r>
        <w:rPr>
          <w:rFonts w:ascii="Arial" w:hAnsi="Arial" w:eastAsia="宋体" w:cs="Arial"/>
          <w:b/>
          <w:bCs/>
          <w:kern w:val="0"/>
          <w:sz w:val="20"/>
          <w:szCs w:val="20"/>
          <w:lang w:val="en-GB"/>
        </w:rPr>
        <w:t>Observation 1: The identification of NCR is essential to differentiate the NCR with other device type for gNB to provide NCR-specific control information.</w:t>
      </w:r>
    </w:p>
    <w:p>
      <w:pPr>
        <w:widowControl/>
        <w:spacing w:after="180"/>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For authorization: </w:t>
      </w: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The NCR performs amplify-and-forward operation</w:t>
      </w:r>
      <w:r>
        <w:rPr>
          <w:rFonts w:hint="eastAsia" w:ascii="Arial" w:hAnsi="Arial" w:eastAsia="宋体" w:cs="Arial"/>
          <w:kern w:val="0"/>
          <w:sz w:val="20"/>
          <w:szCs w:val="20"/>
          <w:lang w:val="en-GB"/>
        </w:rPr>
        <w:t xml:space="preserve"> </w:t>
      </w:r>
      <w:r>
        <w:rPr>
          <w:rFonts w:ascii="Arial" w:hAnsi="Arial" w:eastAsia="宋体" w:cs="Arial"/>
          <w:kern w:val="0"/>
          <w:sz w:val="20"/>
          <w:szCs w:val="20"/>
          <w:lang w:val="en-GB"/>
        </w:rPr>
        <w:t>as a bridge between the UE and gNB, this means the NCR should be a certified device and the unexpected repeater should be avoided. Otherwise, the performance of communication between the UE and network will be seriously affected.</w:t>
      </w: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 xml:space="preserve">On the other hand, the NCR is only responsible for </w:t>
      </w:r>
      <w:r>
        <w:rPr>
          <w:rFonts w:hint="eastAsia" w:ascii="Arial" w:hAnsi="Arial" w:eastAsia="宋体" w:cs="Arial"/>
          <w:kern w:val="0"/>
          <w:sz w:val="20"/>
          <w:szCs w:val="20"/>
          <w:lang w:val="en-US" w:eastAsia="zh-CN"/>
        </w:rPr>
        <w:t xml:space="preserve">RF </w:t>
      </w:r>
      <w:r>
        <w:rPr>
          <w:rFonts w:ascii="Arial" w:hAnsi="Arial" w:eastAsia="宋体" w:cs="Arial"/>
          <w:kern w:val="0"/>
          <w:sz w:val="20"/>
          <w:szCs w:val="20"/>
          <w:lang w:val="en-GB"/>
        </w:rPr>
        <w:t xml:space="preserve">signal amplification and forwarding, </w:t>
      </w:r>
      <w:r>
        <w:rPr>
          <w:rFonts w:hint="eastAsia" w:ascii="Arial" w:hAnsi="Arial" w:eastAsia="宋体" w:cs="Arial"/>
          <w:kern w:val="0"/>
          <w:sz w:val="20"/>
          <w:szCs w:val="20"/>
          <w:lang w:val="en-US" w:eastAsia="zh-CN"/>
        </w:rPr>
        <w:t xml:space="preserve">and </w:t>
      </w:r>
      <w:r>
        <w:rPr>
          <w:rFonts w:ascii="Arial" w:hAnsi="Arial" w:eastAsia="宋体" w:cs="Arial"/>
          <w:kern w:val="0"/>
          <w:sz w:val="20"/>
          <w:szCs w:val="20"/>
          <w:lang w:val="en-GB"/>
        </w:rPr>
        <w:t>there is no additional processing on user data</w:t>
      </w:r>
      <w:r>
        <w:rPr>
          <w:rFonts w:hint="eastAsia" w:ascii="Arial" w:hAnsi="Arial" w:eastAsia="宋体" w:cs="Arial"/>
          <w:kern w:val="0"/>
          <w:sz w:val="20"/>
          <w:szCs w:val="20"/>
          <w:lang w:val="en-US" w:eastAsia="zh-CN"/>
        </w:rPr>
        <w:t xml:space="preserve"> which is different from IAB node</w:t>
      </w:r>
      <w:r>
        <w:rPr>
          <w:rFonts w:ascii="Arial" w:hAnsi="Arial" w:eastAsia="宋体" w:cs="Arial"/>
          <w:kern w:val="0"/>
          <w:sz w:val="20"/>
          <w:szCs w:val="20"/>
          <w:lang w:val="en-GB"/>
        </w:rPr>
        <w:t xml:space="preserve">, </w:t>
      </w:r>
      <w:r>
        <w:rPr>
          <w:rFonts w:hint="eastAsia" w:ascii="Arial" w:hAnsi="Arial" w:eastAsia="宋体" w:cs="Arial"/>
          <w:kern w:val="0"/>
          <w:sz w:val="20"/>
          <w:szCs w:val="20"/>
          <w:lang w:val="en-US" w:eastAsia="zh-CN"/>
        </w:rPr>
        <w:t>so</w:t>
      </w:r>
      <w:r>
        <w:rPr>
          <w:rFonts w:ascii="Arial" w:hAnsi="Arial" w:eastAsia="宋体" w:cs="Arial"/>
          <w:kern w:val="0"/>
          <w:sz w:val="20"/>
          <w:szCs w:val="20"/>
          <w:lang w:val="en-GB"/>
        </w:rPr>
        <w:t xml:space="preserve"> there are no security issues.</w:t>
      </w:r>
    </w:p>
    <w:p>
      <w:pPr>
        <w:widowControl/>
        <w:spacing w:after="180"/>
        <w:rPr>
          <w:rFonts w:ascii="Arial" w:hAnsi="Arial" w:eastAsia="宋体" w:cs="Arial"/>
          <w:kern w:val="0"/>
          <w:sz w:val="20"/>
          <w:szCs w:val="20"/>
          <w:lang w:val="en-GB"/>
        </w:rPr>
      </w:pPr>
      <w:r>
        <w:rPr>
          <w:rFonts w:ascii="Arial" w:hAnsi="Arial" w:eastAsia="宋体" w:cs="Arial"/>
          <w:kern w:val="0"/>
          <w:sz w:val="20"/>
          <w:szCs w:val="20"/>
          <w:lang w:val="en-GB"/>
        </w:rPr>
        <w:t>Furthermore, the NCR is basically stationary device and there are no mobility requirements.</w:t>
      </w:r>
    </w:p>
    <w:p>
      <w:pPr>
        <w:widowControl/>
        <w:spacing w:after="180"/>
        <w:rPr>
          <w:rFonts w:ascii="Arial" w:hAnsi="Arial" w:eastAsia="宋体" w:cs="Arial"/>
          <w:b/>
          <w:bCs/>
          <w:kern w:val="0"/>
          <w:sz w:val="20"/>
          <w:szCs w:val="20"/>
          <w:lang w:val="en-GB"/>
        </w:rPr>
      </w:pPr>
      <w:r>
        <w:rPr>
          <w:rFonts w:ascii="Arial" w:hAnsi="Arial" w:eastAsia="宋体" w:cs="Arial"/>
          <w:b/>
          <w:bCs/>
          <w:kern w:val="0"/>
          <w:sz w:val="20"/>
          <w:szCs w:val="20"/>
          <w:lang w:val="en-GB"/>
        </w:rPr>
        <w:t>Observation 2: The authorization of NCR is to avoid any unexpected repeater.</w:t>
      </w:r>
    </w:p>
    <w:p>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O</w:t>
      </w:r>
      <w:r>
        <w:rPr>
          <w:rFonts w:ascii="Arial" w:hAnsi="Arial" w:eastAsia="宋体" w:cs="Arial"/>
          <w:b/>
          <w:bCs/>
          <w:kern w:val="0"/>
          <w:sz w:val="20"/>
          <w:szCs w:val="20"/>
          <w:lang w:val="en-GB"/>
        </w:rPr>
        <w:t xml:space="preserve">bservation 3: Since NCR is only responsible for RF signal amplification without any L1/2 </w:t>
      </w:r>
      <w:r>
        <w:rPr>
          <w:rFonts w:hint="eastAsia" w:ascii="Arial" w:hAnsi="Arial" w:eastAsia="宋体" w:cs="Arial"/>
          <w:b/>
          <w:bCs/>
          <w:kern w:val="0"/>
          <w:sz w:val="20"/>
          <w:szCs w:val="20"/>
          <w:lang w:val="en-GB" w:eastAsia="zh-CN"/>
        </w:rPr>
        <w:t>protocols</w:t>
      </w:r>
      <w:r>
        <w:rPr>
          <w:rFonts w:ascii="Arial" w:hAnsi="Arial" w:eastAsia="宋体" w:cs="Arial"/>
          <w:b/>
          <w:bCs/>
          <w:kern w:val="0"/>
          <w:sz w:val="20"/>
          <w:szCs w:val="20"/>
          <w:lang w:val="en-GB"/>
        </w:rPr>
        <w:t xml:space="preserve"> and is stationary, there is no security issue and no mobility requirements.</w:t>
      </w:r>
    </w:p>
    <w:p>
      <w:pPr>
        <w:keepNext/>
        <w:keepLines/>
        <w:widowControl/>
        <w:spacing w:before="180" w:after="180"/>
        <w:ind w:left="1134" w:hanging="1134"/>
        <w:jc w:val="left"/>
        <w:outlineLvl w:val="1"/>
        <w:rPr>
          <w:rFonts w:ascii="Arial" w:hAnsi="Arial" w:eastAsia="宋体" w:cs="Arial"/>
          <w:kern w:val="0"/>
          <w:sz w:val="32"/>
          <w:szCs w:val="20"/>
          <w:lang w:val="en-GB" w:eastAsia="en-US"/>
        </w:rPr>
      </w:pPr>
      <w:r>
        <w:rPr>
          <w:rFonts w:ascii="Arial" w:hAnsi="Arial" w:eastAsia="宋体" w:cs="Arial"/>
          <w:kern w:val="0"/>
          <w:sz w:val="32"/>
          <w:szCs w:val="20"/>
          <w:lang w:val="en-GB" w:eastAsia="en-US"/>
        </w:rPr>
        <w:t>2.2</w:t>
      </w:r>
      <w:r>
        <w:rPr>
          <w:rFonts w:ascii="Arial" w:hAnsi="Arial" w:eastAsia="宋体" w:cs="Arial"/>
          <w:kern w:val="0"/>
          <w:sz w:val="32"/>
          <w:szCs w:val="20"/>
          <w:lang w:val="en-GB" w:eastAsia="en-US"/>
        </w:rPr>
        <w:tab/>
      </w:r>
      <w:r>
        <w:rPr>
          <w:rFonts w:ascii="Arial" w:hAnsi="Arial" w:eastAsia="宋体" w:cs="Arial"/>
          <w:kern w:val="0"/>
          <w:sz w:val="32"/>
          <w:szCs w:val="20"/>
          <w:lang w:val="en-GB" w:eastAsia="en-US"/>
        </w:rPr>
        <w:t>Analysis on potential solutions</w:t>
      </w:r>
    </w:p>
    <w:p>
      <w:pPr>
        <w:spacing w:after="160" w:line="259" w:lineRule="auto"/>
        <w:rPr>
          <w:rFonts w:ascii="Arial" w:hAnsi="Arial" w:eastAsia="宋体" w:cs="Arial"/>
          <w:kern w:val="0"/>
          <w:sz w:val="20"/>
          <w:szCs w:val="20"/>
        </w:rPr>
      </w:pPr>
      <w:r>
        <w:rPr>
          <w:rFonts w:ascii="Arial" w:hAnsi="Arial" w:eastAsia="宋体" w:cs="Arial"/>
          <w:kern w:val="0"/>
          <w:sz w:val="20"/>
          <w:szCs w:val="20"/>
        </w:rPr>
        <w:t>In general, two potential solutions can be considered for the identification and authorization of NCR, i.e. CN-based solution similar to IAB scheme and RAN-based solution without CN impacts.</w:t>
      </w:r>
    </w:p>
    <w:p>
      <w:pPr>
        <w:spacing w:after="160" w:line="259" w:lineRule="auto"/>
        <w:rPr>
          <w:rFonts w:ascii="Arial" w:hAnsi="Arial" w:eastAsia="宋体" w:cs="Arial"/>
          <w:b/>
          <w:bCs/>
          <w:kern w:val="0"/>
          <w:sz w:val="20"/>
          <w:szCs w:val="20"/>
          <w:u w:val="single"/>
        </w:rPr>
      </w:pPr>
      <w:r>
        <w:rPr>
          <w:rFonts w:ascii="Arial" w:hAnsi="Arial" w:eastAsia="宋体" w:cs="Arial"/>
          <w:b/>
          <w:bCs/>
          <w:kern w:val="0"/>
          <w:sz w:val="20"/>
          <w:szCs w:val="20"/>
          <w:u w:val="single"/>
        </w:rPr>
        <w:t>Option 1: CN-based solution similar to IAB scheme</w:t>
      </w:r>
    </w:p>
    <w:p>
      <w:pPr>
        <w:spacing w:after="160" w:line="259" w:lineRule="auto"/>
        <w:rPr>
          <w:rFonts w:ascii="Arial" w:hAnsi="Arial" w:eastAsia="宋体" w:cs="Arial"/>
          <w:kern w:val="0"/>
          <w:sz w:val="20"/>
          <w:szCs w:val="20"/>
        </w:rPr>
      </w:pPr>
      <w:r>
        <w:rPr>
          <w:rFonts w:ascii="Arial" w:hAnsi="Arial" w:eastAsia="宋体" w:cs="Arial"/>
          <w:kern w:val="0"/>
          <w:sz w:val="20"/>
          <w:szCs w:val="20"/>
        </w:rPr>
        <w:t xml:space="preserve">The </w:t>
      </w:r>
      <w:r>
        <w:rPr>
          <w:rFonts w:hint="eastAsia" w:ascii="Arial" w:hAnsi="Arial" w:eastAsia="宋体" w:cs="Arial"/>
          <w:kern w:val="0"/>
          <w:sz w:val="20"/>
          <w:szCs w:val="20"/>
        </w:rPr>
        <w:t>N</w:t>
      </w:r>
      <w:r>
        <w:rPr>
          <w:rFonts w:ascii="Arial" w:hAnsi="Arial" w:eastAsia="宋体" w:cs="Arial"/>
          <w:kern w:val="0"/>
          <w:sz w:val="20"/>
          <w:szCs w:val="20"/>
        </w:rPr>
        <w:t>CR-MT is similar as IAB-UE which is the same as normal UE and can reuse the procedures of the normal UE, but the NCR does not support DU-like functionalities (IAB-DU).</w:t>
      </w:r>
    </w:p>
    <w:p>
      <w:pPr>
        <w:spacing w:after="160" w:line="259" w:lineRule="auto"/>
        <w:rPr>
          <w:rFonts w:ascii="Arial" w:hAnsi="Arial" w:eastAsia="宋体" w:cs="Arial"/>
          <w:kern w:val="0"/>
          <w:sz w:val="20"/>
          <w:szCs w:val="20"/>
        </w:rPr>
      </w:pPr>
      <w:r>
        <w:rPr>
          <w:rFonts w:ascii="Arial" w:hAnsi="Arial" w:eastAsia="宋体" w:cs="Arial"/>
          <w:kern w:val="0"/>
          <w:sz w:val="20"/>
          <w:szCs w:val="20"/>
        </w:rPr>
        <w:t>Similar to IAB scheme, the following aspects can be enhanced to support the identification and authorization of NCR as Figure 2.2-1, and the enhancements are highlighted in red:</w:t>
      </w:r>
    </w:p>
    <w:p>
      <w:pPr>
        <w:widowControl/>
        <w:spacing w:after="160" w:line="259" w:lineRule="auto"/>
        <w:ind w:left="568" w:hanging="284"/>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w:t>
      </w:r>
      <w:r>
        <w:rPr>
          <w:rFonts w:ascii="Arial" w:hAnsi="Arial" w:eastAsia="Arial Unicode MS" w:cs="Arial"/>
          <w:kern w:val="0"/>
          <w:sz w:val="20"/>
          <w:szCs w:val="20"/>
          <w:lang w:val="en-GB" w:eastAsia="en-US"/>
        </w:rPr>
        <w:tab/>
      </w:r>
      <w:r>
        <w:rPr>
          <w:rFonts w:ascii="Arial" w:hAnsi="Arial" w:eastAsia="Arial Unicode MS" w:cs="Arial"/>
          <w:kern w:val="0"/>
          <w:sz w:val="20"/>
          <w:szCs w:val="20"/>
          <w:lang w:val="en-GB" w:eastAsia="en-US"/>
        </w:rPr>
        <w:t>The Registration procedure in TS 23.502 [3] is enhanced to indicate NCR's capability to the AMF.</w:t>
      </w:r>
    </w:p>
    <w:p>
      <w:pPr>
        <w:widowControl/>
        <w:spacing w:after="160" w:line="259" w:lineRule="auto"/>
        <w:ind w:left="568" w:hanging="284"/>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w:t>
      </w:r>
      <w:r>
        <w:rPr>
          <w:rFonts w:ascii="Arial" w:hAnsi="Arial" w:eastAsia="Arial Unicode MS" w:cs="Arial"/>
          <w:kern w:val="0"/>
          <w:sz w:val="20"/>
          <w:szCs w:val="20"/>
          <w:lang w:val="en-GB" w:eastAsia="en-US"/>
        </w:rPr>
        <w:tab/>
      </w:r>
      <w:r>
        <w:rPr>
          <w:rFonts w:ascii="Arial" w:hAnsi="Arial" w:eastAsia="Arial Unicode MS" w:cs="Arial"/>
          <w:kern w:val="0"/>
          <w:sz w:val="20"/>
          <w:szCs w:val="20"/>
          <w:lang w:val="en-GB" w:eastAsia="en-US"/>
        </w:rPr>
        <w:t>The NCR-MT provides an NCR-indication to the NG-RAN when the RRC connection is established as defined in TS 38.331 [4]. When the NCR-indication is received, the NG-RAN selects an AMF that supports NCR and includes the NCR-indication in the N2 INITIAL UE MESSAGE as defined in TS 38.413 [5] so that the AMF can perform NCR authorization.</w:t>
      </w:r>
    </w:p>
    <w:p>
      <w:pPr>
        <w:widowControl/>
        <w:spacing w:after="160" w:line="259" w:lineRule="auto"/>
        <w:ind w:left="568" w:hanging="284"/>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w:t>
      </w:r>
      <w:r>
        <w:rPr>
          <w:rFonts w:ascii="Arial" w:hAnsi="Arial" w:eastAsia="Arial Unicode MS" w:cs="Arial"/>
          <w:kern w:val="0"/>
          <w:sz w:val="20"/>
          <w:szCs w:val="20"/>
          <w:lang w:val="en-GB" w:eastAsia="en-US"/>
        </w:rPr>
        <w:tab/>
      </w:r>
      <w:r>
        <w:rPr>
          <w:rFonts w:ascii="Arial" w:hAnsi="Arial" w:eastAsia="Arial Unicode MS" w:cs="Arial"/>
          <w:kern w:val="0"/>
          <w:sz w:val="20"/>
          <w:szCs w:val="20"/>
          <w:lang w:val="en-GB" w:eastAsia="en-US"/>
        </w:rPr>
        <w:t>The UE Subscription data as defined in TS 23.502 [3] is enhanced to include the authorization information for the NCR operation.</w:t>
      </w:r>
    </w:p>
    <w:p>
      <w:pPr>
        <w:widowControl/>
        <w:spacing w:after="160" w:line="259" w:lineRule="auto"/>
        <w:ind w:left="568" w:hanging="284"/>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w:t>
      </w:r>
      <w:r>
        <w:rPr>
          <w:rFonts w:ascii="Arial" w:hAnsi="Arial" w:eastAsia="Arial Unicode MS" w:cs="Arial"/>
          <w:kern w:val="0"/>
          <w:sz w:val="20"/>
          <w:szCs w:val="20"/>
          <w:lang w:val="en-GB" w:eastAsia="en-US"/>
        </w:rPr>
        <w:tab/>
      </w:r>
      <w:r>
        <w:rPr>
          <w:rFonts w:ascii="Arial" w:hAnsi="Arial" w:eastAsia="Arial Unicode MS" w:cs="Arial"/>
          <w:kern w:val="0"/>
          <w:sz w:val="20"/>
          <w:szCs w:val="20"/>
          <w:lang w:val="en-GB" w:eastAsia="en-US"/>
        </w:rPr>
        <w:t>Authorization procedure during the UE Registration procedure is enhanced to perform verification of NCR subscription information.</w:t>
      </w:r>
    </w:p>
    <w:p>
      <w:pPr>
        <w:widowControl/>
        <w:spacing w:after="160" w:line="259" w:lineRule="auto"/>
        <w:ind w:left="568" w:hanging="284"/>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w:t>
      </w:r>
      <w:r>
        <w:rPr>
          <w:rFonts w:ascii="Arial" w:hAnsi="Arial" w:eastAsia="Arial Unicode MS" w:cs="Arial"/>
          <w:kern w:val="0"/>
          <w:sz w:val="20"/>
          <w:szCs w:val="20"/>
          <w:lang w:val="en-GB" w:eastAsia="en-US"/>
        </w:rPr>
        <w:tab/>
      </w:r>
      <w:r>
        <w:rPr>
          <w:rFonts w:ascii="Arial" w:hAnsi="Arial" w:eastAsia="Arial Unicode MS" w:cs="Arial"/>
          <w:kern w:val="0"/>
          <w:sz w:val="20"/>
          <w:szCs w:val="20"/>
          <w:lang w:val="en-GB" w:eastAsia="en-US"/>
        </w:rPr>
        <w:t>The UE Context setup/modification procedure is enhanced to provide NCR authorized indication to NG-RAN.</w:t>
      </w:r>
    </w:p>
    <w:p>
      <w:pPr>
        <w:spacing w:after="160" w:line="259" w:lineRule="auto"/>
        <w:rPr>
          <w:rFonts w:ascii="Arial" w:hAnsi="Arial" w:eastAsia="宋体" w:cs="Arial"/>
          <w:kern w:val="0"/>
          <w:sz w:val="20"/>
          <w:szCs w:val="20"/>
          <w:lang w:val="en-GB"/>
        </w:rPr>
      </w:pPr>
      <w:r>
        <w:drawing>
          <wp:inline distT="0" distB="0" distL="0" distR="0">
            <wp:extent cx="6122035" cy="35833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5"/>
                    <a:stretch>
                      <a:fillRect/>
                    </a:stretch>
                  </pic:blipFill>
                  <pic:spPr>
                    <a:xfrm>
                      <a:off x="0" y="0"/>
                      <a:ext cx="6122035" cy="3583305"/>
                    </a:xfrm>
                    <a:prstGeom prst="rect">
                      <a:avLst/>
                    </a:prstGeom>
                  </pic:spPr>
                </pic:pic>
              </a:graphicData>
            </a:graphic>
          </wp:inline>
        </w:drawing>
      </w:r>
    </w:p>
    <w:p>
      <w:pPr>
        <w:pStyle w:val="10"/>
        <w:rPr>
          <w:rFonts w:ascii="Times" w:hAnsi="Times" w:cs="Times"/>
          <w:color w:val="000000"/>
        </w:rPr>
      </w:pPr>
      <w:r>
        <w:rPr>
          <w:color w:val="000000"/>
        </w:rPr>
        <w:t>Figure 2.2-1: Procedure for identification and authorization of NCR with option 1</w:t>
      </w:r>
    </w:p>
    <w:p>
      <w:pPr>
        <w:spacing w:after="160" w:line="259" w:lineRule="auto"/>
        <w:rPr>
          <w:rFonts w:ascii="Arial" w:hAnsi="Arial" w:eastAsia="宋体" w:cs="Arial"/>
          <w:kern w:val="0"/>
          <w:sz w:val="20"/>
          <w:szCs w:val="20"/>
        </w:rPr>
      </w:pPr>
    </w:p>
    <w:p>
      <w:pPr>
        <w:spacing w:after="160" w:line="259" w:lineRule="auto"/>
        <w:rPr>
          <w:rFonts w:ascii="Arial" w:hAnsi="Arial" w:eastAsia="宋体" w:cs="Arial"/>
          <w:b/>
          <w:bCs/>
          <w:kern w:val="0"/>
          <w:sz w:val="20"/>
          <w:szCs w:val="20"/>
          <w:u w:val="single"/>
        </w:rPr>
      </w:pPr>
      <w:r>
        <w:rPr>
          <w:rFonts w:ascii="Arial" w:hAnsi="Arial" w:eastAsia="宋体" w:cs="Arial"/>
          <w:b/>
          <w:bCs/>
          <w:kern w:val="0"/>
          <w:sz w:val="20"/>
          <w:szCs w:val="20"/>
          <w:u w:val="single"/>
        </w:rPr>
        <w:t>Option 2: RAN-based solution without CN impacts</w:t>
      </w:r>
    </w:p>
    <w:p>
      <w:pPr>
        <w:spacing w:after="160" w:line="259" w:lineRule="auto"/>
        <w:rPr>
          <w:rFonts w:ascii="Arial Unicode MS" w:hAnsi="Arial Unicode MS" w:eastAsia="Arial Unicode MS" w:cs="Arial Unicode MS"/>
          <w:kern w:val="0"/>
          <w:sz w:val="20"/>
          <w:szCs w:val="20"/>
        </w:rPr>
      </w:pPr>
      <w:r>
        <w:rPr>
          <w:rFonts w:ascii="Arial" w:hAnsi="Arial" w:eastAsia="宋体" w:cs="Arial"/>
          <w:kern w:val="0"/>
          <w:sz w:val="20"/>
          <w:szCs w:val="20"/>
        </w:rPr>
        <w:t>This option mainly consists of two phases for identification and authorization of the NCR, i.e. the NCR-MT registration procedure and NCR</w:t>
      </w:r>
      <w:r>
        <w:rPr>
          <w:rFonts w:hint="eastAsia" w:ascii="Arial" w:hAnsi="Arial" w:eastAsia="宋体" w:cs="Arial"/>
          <w:kern w:val="0"/>
          <w:sz w:val="20"/>
          <w:szCs w:val="20"/>
        </w:rPr>
        <w:t>-Fwd</w:t>
      </w:r>
      <w:r>
        <w:rPr>
          <w:rFonts w:ascii="Arial" w:hAnsi="Arial" w:eastAsia="宋体" w:cs="Arial"/>
          <w:kern w:val="0"/>
          <w:sz w:val="20"/>
          <w:szCs w:val="20"/>
        </w:rPr>
        <w:t xml:space="preserve"> authorization procedure as Figure 2.2-2.</w:t>
      </w:r>
    </w:p>
    <w:p>
      <w:pPr>
        <w:spacing w:after="160" w:line="259" w:lineRule="auto"/>
        <w:rPr>
          <w:rFonts w:ascii="Arial" w:hAnsi="Arial" w:eastAsia="宋体" w:cs="Arial"/>
          <w:kern w:val="0"/>
          <w:sz w:val="20"/>
          <w:szCs w:val="20"/>
        </w:rPr>
      </w:pPr>
      <w:r>
        <w:drawing>
          <wp:inline distT="0" distB="0" distL="0" distR="0">
            <wp:extent cx="6122035" cy="18503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122035" cy="1850390"/>
                    </a:xfrm>
                    <a:prstGeom prst="rect">
                      <a:avLst/>
                    </a:prstGeom>
                  </pic:spPr>
                </pic:pic>
              </a:graphicData>
            </a:graphic>
          </wp:inline>
        </w:drawing>
      </w:r>
    </w:p>
    <w:p>
      <w:pPr>
        <w:pStyle w:val="10"/>
        <w:rPr>
          <w:color w:val="000000"/>
        </w:rPr>
      </w:pPr>
      <w:r>
        <w:rPr>
          <w:color w:val="000000"/>
        </w:rPr>
        <w:t>Figure 2.2-2: Overview for identification and authorization of NCR with option 2</w:t>
      </w:r>
    </w:p>
    <w:p>
      <w:pPr>
        <w:spacing w:after="160" w:line="259" w:lineRule="auto"/>
        <w:rPr>
          <w:rFonts w:ascii="Arial" w:hAnsi="Arial" w:eastAsia="宋体" w:cs="Arial"/>
          <w:b/>
          <w:bCs/>
          <w:kern w:val="0"/>
          <w:sz w:val="20"/>
          <w:szCs w:val="20"/>
        </w:rPr>
      </w:pPr>
      <w:r>
        <w:rPr>
          <w:rFonts w:ascii="Arial" w:hAnsi="Arial" w:eastAsia="宋体" w:cs="Arial"/>
          <w:b/>
          <w:bCs/>
          <w:kern w:val="0"/>
          <w:sz w:val="20"/>
          <w:szCs w:val="20"/>
        </w:rPr>
        <w:t>Phase 1: NCR-MT registration procedure</w:t>
      </w:r>
    </w:p>
    <w:p>
      <w:pPr>
        <w:spacing w:after="160" w:line="259" w:lineRule="auto"/>
        <w:rPr>
          <w:rFonts w:ascii="Arial" w:hAnsi="Arial" w:eastAsia="宋体" w:cs="Arial"/>
          <w:kern w:val="0"/>
          <w:sz w:val="20"/>
          <w:szCs w:val="20"/>
        </w:rPr>
      </w:pPr>
      <w:r>
        <w:rPr>
          <w:rFonts w:ascii="Arial" w:hAnsi="Arial" w:eastAsia="宋体" w:cs="Arial"/>
          <w:kern w:val="0"/>
          <w:sz w:val="20"/>
          <w:szCs w:val="20"/>
        </w:rPr>
        <w:t xml:space="preserve">In this phase, NCR-MT is treated as normal UE, and performs legacy registration procedure. It is worth noting that the NCR-MT needs to indicate to the NG-RAN that this is an NCR device for identification, but the NG-RAN will select a suitable </w:t>
      </w:r>
      <w:r>
        <w:rPr>
          <w:rFonts w:hint="eastAsia" w:ascii="Arial" w:hAnsi="Arial" w:eastAsia="宋体" w:cs="Arial"/>
          <w:kern w:val="0"/>
          <w:sz w:val="20"/>
          <w:szCs w:val="20"/>
        </w:rPr>
        <w:t>AMF</w:t>
      </w:r>
      <w:r>
        <w:rPr>
          <w:rFonts w:ascii="Arial" w:hAnsi="Arial" w:eastAsia="宋体" w:cs="Arial"/>
          <w:kern w:val="0"/>
          <w:sz w:val="20"/>
          <w:szCs w:val="20"/>
        </w:rPr>
        <w:t xml:space="preserve"> regardless of this indication. The indication can be provided via MSG1/MSG3/MSG5 which can be further discussed. </w:t>
      </w:r>
    </w:p>
    <w:p>
      <w:pPr>
        <w:spacing w:after="160" w:line="259" w:lineRule="auto"/>
        <w:rPr>
          <w:rFonts w:ascii="Arial" w:hAnsi="Arial" w:eastAsia="宋体" w:cs="Arial"/>
          <w:b/>
          <w:bCs/>
          <w:kern w:val="0"/>
          <w:sz w:val="20"/>
          <w:szCs w:val="20"/>
        </w:rPr>
      </w:pPr>
      <w:r>
        <w:rPr>
          <w:rFonts w:ascii="Arial" w:hAnsi="Arial" w:eastAsia="宋体" w:cs="Arial"/>
          <w:b/>
          <w:bCs/>
          <w:kern w:val="0"/>
          <w:sz w:val="20"/>
          <w:szCs w:val="20"/>
        </w:rPr>
        <w:t>Phase 2: NCR-Fwd authorization procedure</w:t>
      </w:r>
    </w:p>
    <w:p>
      <w:pPr>
        <w:spacing w:after="160" w:line="259" w:lineRule="auto"/>
        <w:rPr>
          <w:rFonts w:ascii="Arial" w:hAnsi="Arial" w:eastAsia="宋体" w:cs="Arial"/>
          <w:kern w:val="0"/>
          <w:sz w:val="20"/>
          <w:szCs w:val="20"/>
        </w:rPr>
      </w:pPr>
      <w:r>
        <w:rPr>
          <w:rFonts w:ascii="Arial" w:hAnsi="Arial" w:eastAsia="宋体" w:cs="Arial"/>
          <w:kern w:val="0"/>
          <w:sz w:val="20"/>
          <w:szCs w:val="20"/>
        </w:rPr>
        <w:t>In this phase, RAN or OAM is responsible for the authorization of NCR-Fwd. Correspondingly, the following aspects can be enhanced to support the authorization of NCR:</w:t>
      </w:r>
    </w:p>
    <w:p>
      <w:pPr>
        <w:pStyle w:val="11"/>
        <w:widowControl/>
        <w:numPr>
          <w:ilvl w:val="0"/>
          <w:numId w:val="1"/>
        </w:numPr>
        <w:spacing w:after="160" w:line="259" w:lineRule="auto"/>
        <w:ind w:firstLineChars="0"/>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 xml:space="preserve">NCR needs to report the NCR-ID </w:t>
      </w:r>
      <w:r>
        <w:rPr>
          <w:rFonts w:hint="eastAsia" w:ascii="Arial" w:hAnsi="Arial" w:eastAsia="Arial Unicode MS" w:cs="Arial"/>
          <w:kern w:val="0"/>
          <w:sz w:val="20"/>
          <w:szCs w:val="20"/>
          <w:lang w:val="en-GB"/>
        </w:rPr>
        <w:t>which</w:t>
      </w:r>
      <w:r>
        <w:rPr>
          <w:rFonts w:ascii="Arial" w:hAnsi="Arial" w:eastAsia="Arial Unicode MS" w:cs="Arial"/>
          <w:kern w:val="0"/>
          <w:sz w:val="20"/>
          <w:szCs w:val="20"/>
          <w:lang w:val="en-GB" w:eastAsia="en-US"/>
        </w:rPr>
        <w:t xml:space="preserve"> is uniquely identified a network-controlled repeater. </w:t>
      </w:r>
    </w:p>
    <w:p>
      <w:pPr>
        <w:pStyle w:val="11"/>
        <w:widowControl/>
        <w:numPr>
          <w:ilvl w:val="0"/>
          <w:numId w:val="1"/>
        </w:numPr>
        <w:spacing w:after="160" w:line="259" w:lineRule="auto"/>
        <w:ind w:firstLineChars="0"/>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 xml:space="preserve">RAN or OAM performs the authorization procedure based on the NCR-ID. The subscription data including authorization information for NCR is stored in RAN node or OAM. </w:t>
      </w:r>
    </w:p>
    <w:p>
      <w:pPr>
        <w:pStyle w:val="11"/>
        <w:widowControl/>
        <w:numPr>
          <w:ilvl w:val="0"/>
          <w:numId w:val="1"/>
        </w:numPr>
        <w:spacing w:after="160" w:line="259" w:lineRule="auto"/>
        <w:ind w:firstLineChars="0"/>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 xml:space="preserve">If OAM maintains the subscription data, the RAN needs to request the OAM to perform the authorization procedure for NCR based on NCR-ID, and the OAM needs to inform the authorization result to the RAN node including such as an NCR authorized indication. </w:t>
      </w:r>
    </w:p>
    <w:p>
      <w:pPr>
        <w:pStyle w:val="11"/>
        <w:widowControl/>
        <w:numPr>
          <w:ilvl w:val="0"/>
          <w:numId w:val="1"/>
        </w:numPr>
        <w:spacing w:after="160" w:line="259" w:lineRule="auto"/>
        <w:ind w:firstLineChars="0"/>
        <w:rPr>
          <w:rFonts w:ascii="Arial" w:hAnsi="Arial" w:eastAsia="Arial Unicode MS" w:cs="Arial"/>
          <w:kern w:val="0"/>
          <w:sz w:val="20"/>
          <w:szCs w:val="20"/>
          <w:lang w:val="en-GB" w:eastAsia="en-US"/>
        </w:rPr>
      </w:pPr>
      <w:r>
        <w:rPr>
          <w:rFonts w:ascii="Arial" w:hAnsi="Arial" w:eastAsia="Arial Unicode MS" w:cs="Arial"/>
          <w:kern w:val="0"/>
          <w:sz w:val="20"/>
          <w:szCs w:val="20"/>
          <w:lang w:val="en-GB"/>
        </w:rPr>
        <w:t xml:space="preserve">If RAN node </w:t>
      </w:r>
      <w:r>
        <w:rPr>
          <w:rFonts w:ascii="Arial" w:hAnsi="Arial" w:eastAsia="Arial Unicode MS" w:cs="Arial"/>
          <w:kern w:val="0"/>
          <w:sz w:val="20"/>
          <w:szCs w:val="20"/>
          <w:lang w:val="en-GB" w:eastAsia="en-US"/>
        </w:rPr>
        <w:t>maintains the subscription data, the RAN node performs the authorization procedure for NCR based on NCR-ID.</w:t>
      </w:r>
    </w:p>
    <w:p>
      <w:pPr>
        <w:pStyle w:val="11"/>
        <w:widowControl/>
        <w:numPr>
          <w:ilvl w:val="0"/>
          <w:numId w:val="1"/>
        </w:numPr>
        <w:spacing w:after="160" w:line="259" w:lineRule="auto"/>
        <w:ind w:firstLineChars="0"/>
        <w:rPr>
          <w:rFonts w:ascii="Arial" w:hAnsi="Arial" w:eastAsia="Arial Unicode MS" w:cs="Arial"/>
          <w:kern w:val="0"/>
          <w:sz w:val="20"/>
          <w:szCs w:val="20"/>
          <w:lang w:val="en-GB" w:eastAsia="en-US"/>
        </w:rPr>
      </w:pPr>
      <w:r>
        <w:rPr>
          <w:rFonts w:ascii="Arial" w:hAnsi="Arial" w:eastAsia="Arial Unicode MS" w:cs="Arial"/>
          <w:kern w:val="0"/>
          <w:sz w:val="20"/>
          <w:szCs w:val="20"/>
          <w:lang w:val="en-GB" w:eastAsia="en-US"/>
        </w:rPr>
        <w:t xml:space="preserve">RAN node should include this NCR authorized indication in the NCR context. </w:t>
      </w:r>
    </w:p>
    <w:p>
      <w:pPr>
        <w:pStyle w:val="11"/>
        <w:widowControl/>
        <w:numPr>
          <w:ilvl w:val="0"/>
          <w:numId w:val="1"/>
        </w:numPr>
        <w:spacing w:after="160" w:line="259" w:lineRule="auto"/>
        <w:ind w:firstLineChars="0"/>
        <w:rPr>
          <w:rFonts w:ascii="Arial" w:hAnsi="Arial" w:eastAsia="Arial Unicode MS" w:cs="Arial"/>
          <w:kern w:val="0"/>
          <w:sz w:val="20"/>
          <w:szCs w:val="20"/>
          <w:lang w:val="en-GB" w:eastAsia="en-US"/>
        </w:rPr>
      </w:pPr>
      <w:r>
        <w:rPr>
          <w:rFonts w:ascii="Arial" w:hAnsi="Arial" w:eastAsia="Arial Unicode MS" w:cs="Arial"/>
          <w:kern w:val="0"/>
          <w:sz w:val="20"/>
          <w:szCs w:val="20"/>
          <w:lang w:val="en-GB"/>
        </w:rPr>
        <w:t>RAN node informs the authorization result and/or configuration to the NCR.</w:t>
      </w:r>
    </w:p>
    <w:p>
      <w:pPr>
        <w:spacing w:after="160" w:line="259" w:lineRule="auto"/>
        <w:rPr>
          <w:rFonts w:ascii="Arial" w:hAnsi="Arial" w:eastAsia="宋体" w:cs="Arial"/>
          <w:kern w:val="0"/>
          <w:sz w:val="20"/>
          <w:szCs w:val="20"/>
        </w:rPr>
      </w:pPr>
      <w:r>
        <w:drawing>
          <wp:inline distT="0" distB="0" distL="0" distR="0">
            <wp:extent cx="6122035" cy="34810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6122035" cy="3481070"/>
                    </a:xfrm>
                    <a:prstGeom prst="rect">
                      <a:avLst/>
                    </a:prstGeom>
                  </pic:spPr>
                </pic:pic>
              </a:graphicData>
            </a:graphic>
          </wp:inline>
        </w:drawing>
      </w:r>
    </w:p>
    <w:p>
      <w:pPr>
        <w:pStyle w:val="10"/>
        <w:rPr>
          <w:color w:val="000000"/>
        </w:rPr>
      </w:pPr>
      <w:r>
        <w:rPr>
          <w:rFonts w:eastAsia="宋体" w:cs="Arial"/>
        </w:rPr>
        <w:t xml:space="preserve"> </w:t>
      </w:r>
      <w:r>
        <w:rPr>
          <w:color w:val="000000"/>
        </w:rPr>
        <w:t>Figure 2.2-3: Procedure for identification and authorization of NCR with option 2</w:t>
      </w:r>
    </w:p>
    <w:p>
      <w:pPr>
        <w:spacing w:after="160" w:line="259" w:lineRule="auto"/>
        <w:rPr>
          <w:rFonts w:ascii="Arial" w:hAnsi="Arial" w:eastAsia="宋体" w:cs="Arial"/>
          <w:kern w:val="0"/>
          <w:sz w:val="20"/>
          <w:szCs w:val="20"/>
          <w:lang w:val="en-GB"/>
        </w:rPr>
      </w:pPr>
      <w:r>
        <w:rPr>
          <w:rFonts w:ascii="Arial" w:hAnsi="Arial" w:eastAsia="宋体" w:cs="Arial"/>
          <w:kern w:val="0"/>
          <w:sz w:val="20"/>
          <w:szCs w:val="20"/>
          <w:lang w:val="en-GB"/>
        </w:rPr>
        <w:t>In addition, the order of phase 1 and phase 2 is not limited, the NCR can perform phase 1 first and then phase 2, or vice versa. It can be seen from the above description that option 2 has no impacts on CN functions and the enhancements are all on the RAN node and OAM.</w:t>
      </w:r>
    </w:p>
    <w:p>
      <w:pPr>
        <w:spacing w:after="160" w:line="259" w:lineRule="auto"/>
        <w:rPr>
          <w:rFonts w:ascii="Arial" w:hAnsi="Arial" w:eastAsia="宋体" w:cs="Arial"/>
          <w:b/>
          <w:bCs/>
          <w:kern w:val="0"/>
          <w:sz w:val="20"/>
          <w:szCs w:val="20"/>
          <w:lang w:val="en-GB"/>
        </w:rPr>
      </w:pPr>
    </w:p>
    <w:p>
      <w:pPr>
        <w:spacing w:after="160" w:line="259" w:lineRule="auto"/>
        <w:rPr>
          <w:rFonts w:ascii="Arial" w:hAnsi="Arial" w:eastAsia="宋体" w:cs="Arial"/>
          <w:b/>
          <w:bCs/>
          <w:kern w:val="0"/>
          <w:sz w:val="20"/>
          <w:szCs w:val="20"/>
          <w:u w:val="single"/>
          <w:lang w:val="en-GB"/>
        </w:rPr>
      </w:pPr>
      <w:r>
        <w:rPr>
          <w:rFonts w:hint="eastAsia" w:ascii="Arial" w:hAnsi="Arial" w:eastAsia="宋体" w:cs="Arial"/>
          <w:b/>
          <w:bCs/>
          <w:kern w:val="0"/>
          <w:sz w:val="20"/>
          <w:szCs w:val="20"/>
          <w:u w:val="single"/>
          <w:lang w:val="en-GB"/>
        </w:rPr>
        <w:t>C</w:t>
      </w:r>
      <w:r>
        <w:rPr>
          <w:rFonts w:ascii="Arial" w:hAnsi="Arial" w:eastAsia="宋体" w:cs="Arial"/>
          <w:b/>
          <w:bCs/>
          <w:kern w:val="0"/>
          <w:sz w:val="20"/>
          <w:szCs w:val="20"/>
          <w:u w:val="single"/>
          <w:lang w:val="en-GB"/>
        </w:rPr>
        <w:t>omparison of option 1 and option 2:</w:t>
      </w:r>
    </w:p>
    <w:p>
      <w:pPr>
        <w:spacing w:after="160" w:line="259" w:lineRule="auto"/>
        <w:rPr>
          <w:rFonts w:ascii="Arial" w:hAnsi="Arial" w:eastAsia="宋体" w:cs="Arial"/>
          <w:kern w:val="0"/>
          <w:sz w:val="20"/>
          <w:szCs w:val="20"/>
          <w:lang w:val="en-GB"/>
        </w:rPr>
      </w:pPr>
      <w:r>
        <w:rPr>
          <w:rFonts w:ascii="Arial" w:hAnsi="Arial" w:eastAsia="宋体" w:cs="Arial"/>
          <w:kern w:val="0"/>
          <w:sz w:val="20"/>
          <w:szCs w:val="20"/>
          <w:lang w:val="en-GB"/>
        </w:rPr>
        <w:t>For option 1 (i.e. CN-based solution), the SA</w:t>
      </w:r>
      <w:r>
        <w:rPr>
          <w:rFonts w:hint="eastAsia" w:ascii="Arial" w:hAnsi="Arial" w:eastAsia="宋体" w:cs="Arial"/>
          <w:kern w:val="0"/>
          <w:sz w:val="20"/>
          <w:szCs w:val="20"/>
          <w:lang w:val="en-GB"/>
        </w:rPr>
        <w:t>/CT</w:t>
      </w:r>
      <w:r>
        <w:rPr>
          <w:rFonts w:ascii="Arial" w:hAnsi="Arial" w:eastAsia="宋体" w:cs="Arial"/>
          <w:kern w:val="0"/>
          <w:sz w:val="20"/>
          <w:szCs w:val="20"/>
          <w:lang w:val="en-GB"/>
        </w:rPr>
        <w:t xml:space="preserve"> WG should be involved for both identification and authorization. The CN functions (e.g. AMF, AUSF, UDM) shall be enhanced to support the identification and authorization of NCR based on the above analysis.</w:t>
      </w:r>
    </w:p>
    <w:p>
      <w:pPr>
        <w:spacing w:after="160" w:line="259" w:lineRule="auto"/>
        <w:rPr>
          <w:rFonts w:ascii="Arial" w:hAnsi="Arial" w:eastAsia="宋体" w:cs="Arial"/>
          <w:kern w:val="0"/>
          <w:sz w:val="20"/>
          <w:szCs w:val="20"/>
          <w:lang w:val="en-GB"/>
        </w:rPr>
      </w:pPr>
      <w:r>
        <w:rPr>
          <w:rFonts w:ascii="Arial" w:hAnsi="Arial" w:eastAsia="宋体" w:cs="Arial"/>
          <w:kern w:val="0"/>
          <w:sz w:val="20"/>
          <w:szCs w:val="20"/>
          <w:lang w:val="en-GB"/>
        </w:rPr>
        <w:t xml:space="preserve">Form the operator’s point of view, the main advantage of network-controlled repeater is lower deployment cost compared to IAB-node. If option 1 is adopted, the core network needs to be enhanced correspondingly, such as updating AMF, UDM to ensure that it supports the identification and authentication of the NCR. However, the cost of core network alteration is expensive and the workload is also large to coordinate relevant departments involving the core network and the RAN side for operator. We think this will seriously affect the process of large-scale </w:t>
      </w:r>
      <w:bookmarkStart w:id="1" w:name="_Hlk110526307"/>
      <w:r>
        <w:rPr>
          <w:rFonts w:ascii="Arial" w:hAnsi="Arial" w:eastAsia="宋体" w:cs="Arial"/>
          <w:kern w:val="0"/>
          <w:sz w:val="20"/>
          <w:szCs w:val="20"/>
          <w:lang w:val="en-GB"/>
        </w:rPr>
        <w:t xml:space="preserve">commercial </w:t>
      </w:r>
      <w:bookmarkEnd w:id="1"/>
      <w:r>
        <w:rPr>
          <w:rFonts w:ascii="Arial" w:hAnsi="Arial" w:eastAsia="宋体" w:cs="Arial"/>
          <w:kern w:val="0"/>
          <w:sz w:val="20"/>
          <w:szCs w:val="20"/>
          <w:lang w:val="en-GB"/>
        </w:rPr>
        <w:t>deployment for NCR.</w:t>
      </w:r>
    </w:p>
    <w:p>
      <w:pPr>
        <w:spacing w:after="160" w:line="259" w:lineRule="auto"/>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Observation </w:t>
      </w:r>
      <w:r>
        <w:rPr>
          <w:rFonts w:hint="eastAsia" w:ascii="Arial" w:hAnsi="Arial" w:eastAsia="宋体" w:cs="Arial"/>
          <w:b/>
          <w:bCs/>
          <w:kern w:val="0"/>
          <w:sz w:val="20"/>
          <w:szCs w:val="20"/>
          <w:lang w:val="en-US" w:eastAsia="zh-CN"/>
        </w:rPr>
        <w:t>4</w:t>
      </w:r>
      <w:r>
        <w:rPr>
          <w:rFonts w:ascii="Arial" w:hAnsi="Arial" w:eastAsia="宋体" w:cs="Arial"/>
          <w:b/>
          <w:bCs/>
          <w:kern w:val="0"/>
          <w:sz w:val="20"/>
          <w:szCs w:val="20"/>
          <w:lang w:val="en-GB"/>
        </w:rPr>
        <w:t>: CN-based solution similar to IAB scheme has huge impacts on CN functions and needs to involve SA/CT WG to support the identification and authorization of NCR. And considering on the impact</w:t>
      </w:r>
      <w:r>
        <w:rPr>
          <w:rFonts w:hint="eastAsia" w:ascii="Arial" w:hAnsi="Arial" w:eastAsia="宋体" w:cs="Arial"/>
          <w:b/>
          <w:bCs/>
          <w:kern w:val="0"/>
          <w:sz w:val="20"/>
          <w:szCs w:val="20"/>
          <w:lang w:val="en-US" w:eastAsia="zh-CN"/>
        </w:rPr>
        <w:t>s</w:t>
      </w:r>
      <w:r>
        <w:rPr>
          <w:rFonts w:ascii="Arial" w:hAnsi="Arial" w:eastAsia="宋体" w:cs="Arial"/>
          <w:b/>
          <w:bCs/>
          <w:kern w:val="0"/>
          <w:sz w:val="20"/>
          <w:szCs w:val="20"/>
          <w:lang w:val="en-GB"/>
        </w:rPr>
        <w:t xml:space="preserve"> on CN, the deployment cost of this solution is huge which is not beneficial to large-scale deployment.</w:t>
      </w:r>
    </w:p>
    <w:p>
      <w:pPr>
        <w:spacing w:after="160" w:line="259" w:lineRule="auto"/>
        <w:rPr>
          <w:rFonts w:ascii="Arial" w:hAnsi="Arial" w:eastAsia="宋体" w:cs="Arial"/>
          <w:kern w:val="0"/>
          <w:sz w:val="20"/>
          <w:szCs w:val="20"/>
          <w:lang w:val="en-GB"/>
        </w:rPr>
      </w:pPr>
      <w:r>
        <w:rPr>
          <w:rFonts w:ascii="Arial" w:hAnsi="Arial" w:eastAsia="宋体" w:cs="Arial"/>
          <w:kern w:val="0"/>
          <w:sz w:val="20"/>
          <w:szCs w:val="20"/>
          <w:lang w:val="en-GB"/>
        </w:rPr>
        <w:t>For option 2 (i.e. RAN-based solution), both identification and authorization are done in RAN node, or the identification is done in RAN node and the authorization is done in OAM. Anyhow, this option has no impacts on CN functions.</w:t>
      </w:r>
    </w:p>
    <w:p>
      <w:pPr>
        <w:spacing w:after="160" w:line="259" w:lineRule="auto"/>
        <w:rPr>
          <w:rFonts w:ascii="Arial" w:hAnsi="Arial" w:eastAsia="宋体" w:cs="Arial"/>
          <w:kern w:val="0"/>
          <w:sz w:val="20"/>
          <w:szCs w:val="20"/>
          <w:lang w:val="en-GB"/>
        </w:rPr>
      </w:pPr>
      <w:r>
        <w:rPr>
          <w:rFonts w:ascii="Arial" w:hAnsi="Arial" w:eastAsia="宋体" w:cs="Arial"/>
          <w:kern w:val="0"/>
          <w:sz w:val="20"/>
          <w:szCs w:val="20"/>
          <w:lang w:val="en-GB"/>
        </w:rPr>
        <w:t>Compared with option 1, option 2 is a simple way to ensure the authorization of the NCR, and can avoid the impacts on the core network. Simultaneously, option 2 can reduce the deployment cost of the NCR.</w:t>
      </w:r>
      <w:r>
        <w:rPr>
          <w:rFonts w:hint="eastAsia" w:ascii="Arial" w:hAnsi="Arial" w:eastAsia="宋体" w:cs="Arial"/>
          <w:kern w:val="0"/>
          <w:sz w:val="20"/>
          <w:szCs w:val="20"/>
          <w:lang w:val="en-GB"/>
        </w:rPr>
        <w:t xml:space="preserve"> </w:t>
      </w:r>
    </w:p>
    <w:p>
      <w:pPr>
        <w:spacing w:after="160" w:line="259" w:lineRule="auto"/>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Observation </w:t>
      </w:r>
      <w:r>
        <w:rPr>
          <w:rFonts w:hint="eastAsia" w:ascii="Arial" w:hAnsi="Arial" w:eastAsia="宋体" w:cs="Arial"/>
          <w:b/>
          <w:bCs/>
          <w:kern w:val="0"/>
          <w:sz w:val="20"/>
          <w:szCs w:val="20"/>
          <w:lang w:val="en-US" w:eastAsia="zh-CN"/>
        </w:rPr>
        <w:t>5</w:t>
      </w:r>
      <w:r>
        <w:rPr>
          <w:rFonts w:ascii="Arial" w:hAnsi="Arial" w:eastAsia="宋体" w:cs="Arial"/>
          <w:b/>
          <w:bCs/>
          <w:kern w:val="0"/>
          <w:sz w:val="20"/>
          <w:szCs w:val="20"/>
          <w:lang w:val="en-GB"/>
        </w:rPr>
        <w:t>: RAN-based solution has no impacts on CN, and can be accomplished by RAN WG. And this solution can reduce the deployment cost of the NCR.</w:t>
      </w:r>
    </w:p>
    <w:p>
      <w:pPr>
        <w:spacing w:after="160" w:line="259" w:lineRule="auto"/>
        <w:rPr>
          <w:rFonts w:ascii="Arial" w:hAnsi="Arial" w:eastAsia="宋体" w:cs="Arial"/>
          <w:kern w:val="0"/>
          <w:sz w:val="20"/>
          <w:szCs w:val="20"/>
          <w:lang w:val="en-GB"/>
        </w:rPr>
      </w:pPr>
      <w:r>
        <w:rPr>
          <w:rFonts w:ascii="Arial" w:hAnsi="Arial" w:eastAsia="宋体" w:cs="Arial"/>
          <w:kern w:val="0"/>
          <w:sz w:val="20"/>
          <w:szCs w:val="20"/>
          <w:lang w:val="en-GB"/>
        </w:rPr>
        <w:t>T</w:t>
      </w:r>
      <w:r>
        <w:rPr>
          <w:rFonts w:hint="eastAsia" w:ascii="Arial" w:hAnsi="Arial" w:eastAsia="宋体" w:cs="Arial"/>
          <w:kern w:val="0"/>
          <w:sz w:val="20"/>
          <w:szCs w:val="20"/>
          <w:lang w:val="en-GB"/>
        </w:rPr>
        <w:t>h</w:t>
      </w:r>
      <w:r>
        <w:rPr>
          <w:rFonts w:ascii="Arial" w:hAnsi="Arial" w:eastAsia="宋体" w:cs="Arial"/>
          <w:kern w:val="0"/>
          <w:sz w:val="20"/>
          <w:szCs w:val="20"/>
          <w:lang w:val="en-GB"/>
        </w:rPr>
        <w:t>erefore, based on analysis above, we prefer RAN-based solution without CN impacts to support the identification and authorization of the network-controlled repeater.</w:t>
      </w:r>
    </w:p>
    <w:p>
      <w:pPr>
        <w:spacing w:after="160" w:line="259" w:lineRule="auto"/>
        <w:rPr>
          <w:rFonts w:ascii="Arial" w:hAnsi="Arial" w:eastAsia="宋体" w:cs="Arial"/>
          <w:kern w:val="0"/>
          <w:sz w:val="20"/>
          <w:szCs w:val="20"/>
          <w:lang w:val="en-GB"/>
        </w:rPr>
      </w:pPr>
      <w:r>
        <w:rPr>
          <w:rFonts w:ascii="Arial" w:hAnsi="Arial" w:eastAsia="宋体" w:cs="Arial"/>
          <w:kern w:val="0"/>
          <w:sz w:val="20"/>
          <w:szCs w:val="20"/>
          <w:lang w:val="en-GB"/>
        </w:rPr>
        <w:t>Considering there is only one meeting in SI stage, we propose RAN2 to capture the RAN-based solution into the TR 38.867 and recommend it for normative work.</w:t>
      </w:r>
    </w:p>
    <w:p>
      <w:pPr>
        <w:spacing w:after="160" w:line="259" w:lineRule="auto"/>
        <w:rPr>
          <w:rFonts w:ascii="Arial" w:hAnsi="Arial" w:eastAsia="宋体" w:cs="Arial"/>
          <w:b/>
          <w:bCs/>
          <w:kern w:val="0"/>
          <w:sz w:val="20"/>
          <w:szCs w:val="20"/>
          <w:lang w:val="en-GB"/>
        </w:rPr>
      </w:pPr>
      <w:r>
        <w:rPr>
          <w:rFonts w:hint="eastAsia" w:ascii="Arial" w:hAnsi="Arial" w:eastAsia="宋体" w:cs="Arial"/>
          <w:b/>
          <w:bCs/>
          <w:kern w:val="0"/>
          <w:sz w:val="20"/>
          <w:szCs w:val="20"/>
          <w:lang w:val="en-GB"/>
        </w:rPr>
        <w:t>P</w:t>
      </w:r>
      <w:r>
        <w:rPr>
          <w:rFonts w:ascii="Arial" w:hAnsi="Arial" w:eastAsia="宋体" w:cs="Arial"/>
          <w:b/>
          <w:bCs/>
          <w:kern w:val="0"/>
          <w:sz w:val="20"/>
          <w:szCs w:val="20"/>
          <w:lang w:val="en-GB"/>
        </w:rPr>
        <w:t xml:space="preserve">roposal 1: RAN based solution should be captured into the TR38.867 and is recommended for normative work. </w:t>
      </w:r>
    </w:p>
    <w:p>
      <w:pPr>
        <w:spacing w:after="160" w:line="259" w:lineRule="auto"/>
        <w:rPr>
          <w:rFonts w:ascii="Arial" w:hAnsi="Arial" w:eastAsia="宋体" w:cs="Arial"/>
          <w:b/>
          <w:bCs/>
          <w:kern w:val="0"/>
          <w:sz w:val="20"/>
          <w:szCs w:val="20"/>
          <w:lang w:val="en-GB"/>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Here are the proposals for NCR enhancement.</w:t>
      </w:r>
    </w:p>
    <w:p>
      <w:pPr>
        <w:widowControl/>
        <w:spacing w:after="180"/>
        <w:rPr>
          <w:rFonts w:ascii="Arial" w:hAnsi="Arial" w:eastAsia="宋体" w:cs="Arial"/>
          <w:kern w:val="0"/>
          <w:sz w:val="20"/>
          <w:szCs w:val="20"/>
          <w:lang w:val="en-GB"/>
        </w:rPr>
      </w:pPr>
      <w:r>
        <w:rPr>
          <w:rFonts w:ascii="Arial" w:hAnsi="Arial" w:eastAsia="宋体" w:cs="Arial"/>
          <w:b/>
          <w:bCs/>
          <w:kern w:val="0"/>
          <w:sz w:val="20"/>
          <w:szCs w:val="20"/>
          <w:lang w:val="en-GB"/>
        </w:rPr>
        <w:t xml:space="preserve">Observation 1: The identification of NCR is essential to differentiate the NCR with other device type for gNB </w:t>
      </w:r>
      <w:r>
        <w:rPr>
          <w:rFonts w:hint="eastAsia" w:ascii="Arial" w:hAnsi="Arial" w:eastAsia="宋体" w:cs="Arial"/>
          <w:b/>
          <w:bCs/>
          <w:kern w:val="0"/>
          <w:sz w:val="20"/>
          <w:szCs w:val="20"/>
          <w:lang w:val="en-US" w:eastAsia="zh-CN"/>
        </w:rPr>
        <w:t xml:space="preserve">to </w:t>
      </w:r>
      <w:r>
        <w:rPr>
          <w:rFonts w:ascii="Arial" w:hAnsi="Arial" w:eastAsia="宋体" w:cs="Arial"/>
          <w:b/>
          <w:bCs/>
          <w:kern w:val="0"/>
          <w:sz w:val="20"/>
          <w:szCs w:val="20"/>
          <w:lang w:val="en-GB"/>
        </w:rPr>
        <w:t>provid</w:t>
      </w:r>
      <w:r>
        <w:rPr>
          <w:rFonts w:hint="eastAsia" w:ascii="Arial" w:hAnsi="Arial" w:eastAsia="宋体" w:cs="Arial"/>
          <w:b/>
          <w:bCs/>
          <w:kern w:val="0"/>
          <w:sz w:val="20"/>
          <w:szCs w:val="20"/>
          <w:lang w:val="en-US" w:eastAsia="zh-CN"/>
        </w:rPr>
        <w:t>e</w:t>
      </w:r>
      <w:r>
        <w:rPr>
          <w:rFonts w:ascii="Arial" w:hAnsi="Arial" w:eastAsia="宋体" w:cs="Arial"/>
          <w:b/>
          <w:bCs/>
          <w:kern w:val="0"/>
          <w:sz w:val="20"/>
          <w:szCs w:val="20"/>
          <w:lang w:val="en-GB"/>
        </w:rPr>
        <w:t xml:space="preserve"> NCR-specific control information.</w:t>
      </w:r>
    </w:p>
    <w:p>
      <w:pPr>
        <w:widowControl/>
        <w:spacing w:after="180"/>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Observation 2: The authorization of NCR is to avoid </w:t>
      </w:r>
      <w:r>
        <w:rPr>
          <w:rFonts w:hint="eastAsia" w:ascii="Arial" w:hAnsi="Arial" w:eastAsia="宋体" w:cs="Arial"/>
          <w:b/>
          <w:bCs/>
          <w:kern w:val="0"/>
          <w:sz w:val="20"/>
          <w:szCs w:val="20"/>
          <w:lang w:val="en-US" w:eastAsia="zh-CN"/>
        </w:rPr>
        <w:t>any</w:t>
      </w:r>
      <w:r>
        <w:rPr>
          <w:rFonts w:ascii="Arial" w:hAnsi="Arial" w:eastAsia="宋体" w:cs="Arial"/>
          <w:b/>
          <w:bCs/>
          <w:kern w:val="0"/>
          <w:sz w:val="20"/>
          <w:szCs w:val="20"/>
          <w:lang w:val="en-GB"/>
        </w:rPr>
        <w:t xml:space="preserve"> unexpected repeater.</w:t>
      </w:r>
    </w:p>
    <w:p>
      <w:pPr>
        <w:widowControl/>
        <w:spacing w:after="180"/>
        <w:rPr>
          <w:rFonts w:ascii="Arial" w:hAnsi="Arial" w:eastAsia="宋体" w:cs="Arial"/>
          <w:b/>
          <w:bCs/>
          <w:kern w:val="0"/>
          <w:sz w:val="20"/>
          <w:szCs w:val="20"/>
          <w:lang w:val="en-GB"/>
        </w:rPr>
      </w:pPr>
      <w:r>
        <w:rPr>
          <w:rFonts w:hint="eastAsia" w:ascii="Arial" w:hAnsi="Arial" w:eastAsia="宋体" w:cs="Arial"/>
          <w:b/>
          <w:bCs/>
          <w:kern w:val="0"/>
          <w:sz w:val="20"/>
          <w:szCs w:val="20"/>
          <w:lang w:val="en-GB"/>
        </w:rPr>
        <w:t>O</w:t>
      </w:r>
      <w:r>
        <w:rPr>
          <w:rFonts w:ascii="Arial" w:hAnsi="Arial" w:eastAsia="宋体" w:cs="Arial"/>
          <w:b/>
          <w:bCs/>
          <w:kern w:val="0"/>
          <w:sz w:val="20"/>
          <w:szCs w:val="20"/>
          <w:lang w:val="en-GB"/>
        </w:rPr>
        <w:t>bservation 3: Since NCR is only responsible for RF signal amplification without any L1/2 protoc</w:t>
      </w:r>
      <w:r>
        <w:rPr>
          <w:rFonts w:hint="eastAsia" w:ascii="Arial" w:hAnsi="Arial" w:eastAsia="宋体" w:cs="Arial"/>
          <w:b/>
          <w:bCs/>
          <w:kern w:val="0"/>
          <w:sz w:val="20"/>
          <w:szCs w:val="20"/>
          <w:lang w:val="en-US" w:eastAsia="zh-CN"/>
        </w:rPr>
        <w:t>o</w:t>
      </w:r>
      <w:r>
        <w:rPr>
          <w:rFonts w:ascii="Arial" w:hAnsi="Arial" w:eastAsia="宋体" w:cs="Arial"/>
          <w:b/>
          <w:bCs/>
          <w:kern w:val="0"/>
          <w:sz w:val="20"/>
          <w:szCs w:val="20"/>
          <w:lang w:val="en-GB"/>
        </w:rPr>
        <w:t>ls and is stationary, there is no security issue and no mobility requirements.</w:t>
      </w:r>
    </w:p>
    <w:p>
      <w:pPr>
        <w:spacing w:after="160" w:line="259" w:lineRule="auto"/>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Observation </w:t>
      </w:r>
      <w:r>
        <w:rPr>
          <w:rFonts w:hint="eastAsia" w:ascii="Arial" w:hAnsi="Arial" w:eastAsia="宋体" w:cs="Arial"/>
          <w:b/>
          <w:bCs/>
          <w:kern w:val="0"/>
          <w:sz w:val="20"/>
          <w:szCs w:val="20"/>
          <w:lang w:val="en-US" w:eastAsia="zh-CN"/>
        </w:rPr>
        <w:t>4</w:t>
      </w:r>
      <w:r>
        <w:rPr>
          <w:rFonts w:ascii="Arial" w:hAnsi="Arial" w:eastAsia="宋体" w:cs="Arial"/>
          <w:b/>
          <w:bCs/>
          <w:kern w:val="0"/>
          <w:sz w:val="20"/>
          <w:szCs w:val="20"/>
          <w:lang w:val="en-GB"/>
        </w:rPr>
        <w:t>: CN-based solution similar to IAB scheme has huge impacts on CN functions and needs to involve SA/CT WG to support the identification and authorization of NCR. And considering on the impact</w:t>
      </w:r>
      <w:r>
        <w:rPr>
          <w:rFonts w:hint="eastAsia" w:ascii="Arial" w:hAnsi="Arial" w:eastAsia="宋体" w:cs="Arial"/>
          <w:b/>
          <w:bCs/>
          <w:kern w:val="0"/>
          <w:sz w:val="20"/>
          <w:szCs w:val="20"/>
          <w:lang w:val="en-US" w:eastAsia="zh-CN"/>
        </w:rPr>
        <w:t>s</w:t>
      </w:r>
      <w:r>
        <w:rPr>
          <w:rFonts w:ascii="Arial" w:hAnsi="Arial" w:eastAsia="宋体" w:cs="Arial"/>
          <w:b/>
          <w:bCs/>
          <w:kern w:val="0"/>
          <w:sz w:val="20"/>
          <w:szCs w:val="20"/>
          <w:lang w:val="en-GB"/>
        </w:rPr>
        <w:t xml:space="preserve"> on CN, the deployment cost of this solution is huge which is not beneficial to large-scale deployment.</w:t>
      </w:r>
    </w:p>
    <w:p>
      <w:pPr>
        <w:spacing w:after="160" w:line="259" w:lineRule="auto"/>
        <w:rPr>
          <w:rFonts w:ascii="Arial" w:hAnsi="Arial" w:eastAsia="宋体" w:cs="Arial"/>
          <w:b/>
          <w:bCs/>
          <w:kern w:val="0"/>
          <w:sz w:val="20"/>
          <w:szCs w:val="20"/>
          <w:lang w:val="en-GB"/>
        </w:rPr>
      </w:pPr>
      <w:r>
        <w:rPr>
          <w:rFonts w:ascii="Arial" w:hAnsi="Arial" w:eastAsia="宋体" w:cs="Arial"/>
          <w:b/>
          <w:bCs/>
          <w:kern w:val="0"/>
          <w:sz w:val="20"/>
          <w:szCs w:val="20"/>
          <w:lang w:val="en-GB"/>
        </w:rPr>
        <w:t xml:space="preserve">Observation </w:t>
      </w:r>
      <w:r>
        <w:rPr>
          <w:rFonts w:hint="eastAsia" w:ascii="Arial" w:hAnsi="Arial" w:eastAsia="宋体" w:cs="Arial"/>
          <w:b/>
          <w:bCs/>
          <w:kern w:val="0"/>
          <w:sz w:val="20"/>
          <w:szCs w:val="20"/>
          <w:lang w:val="en-US" w:eastAsia="zh-CN"/>
        </w:rPr>
        <w:t>5</w:t>
      </w:r>
      <w:r>
        <w:rPr>
          <w:rFonts w:ascii="Arial" w:hAnsi="Arial" w:eastAsia="宋体" w:cs="Arial"/>
          <w:b/>
          <w:bCs/>
          <w:kern w:val="0"/>
          <w:sz w:val="20"/>
          <w:szCs w:val="20"/>
          <w:lang w:val="en-GB"/>
        </w:rPr>
        <w:t>: RAN-based solution has no impacts on CN, and can be accomplished by RAN WG. And this solution can reduce the deployment cost of the NCR.</w:t>
      </w:r>
    </w:p>
    <w:p>
      <w:pPr>
        <w:spacing w:after="160" w:line="259" w:lineRule="auto"/>
        <w:rPr>
          <w:rFonts w:ascii="Arial" w:hAnsi="Arial" w:eastAsia="宋体" w:cs="Arial"/>
          <w:b/>
          <w:bCs/>
          <w:kern w:val="0"/>
          <w:sz w:val="20"/>
          <w:szCs w:val="20"/>
          <w:lang w:val="en-GB"/>
        </w:rPr>
      </w:pPr>
      <w:r>
        <w:rPr>
          <w:rFonts w:hint="eastAsia" w:ascii="Arial" w:hAnsi="Arial" w:eastAsia="宋体" w:cs="Arial"/>
          <w:b/>
          <w:bCs/>
          <w:kern w:val="0"/>
          <w:sz w:val="20"/>
          <w:szCs w:val="20"/>
          <w:lang w:val="en-GB"/>
        </w:rPr>
        <w:t>P</w:t>
      </w:r>
      <w:r>
        <w:rPr>
          <w:rFonts w:ascii="Arial" w:hAnsi="Arial" w:eastAsia="宋体" w:cs="Arial"/>
          <w:b/>
          <w:bCs/>
          <w:kern w:val="0"/>
          <w:sz w:val="20"/>
          <w:szCs w:val="20"/>
          <w:lang w:val="en-GB"/>
        </w:rPr>
        <w:t xml:space="preserve">roposal 1: RAN based solution should be captured into the TR38.867 and is recommended for normative work. </w:t>
      </w:r>
    </w:p>
    <w:p>
      <w:pPr>
        <w:widowControl/>
        <w:spacing w:after="180"/>
        <w:rPr>
          <w:rFonts w:ascii="Arial" w:hAnsi="Arial" w:eastAsia="宋体" w:cs="Arial"/>
          <w:kern w:val="0"/>
          <w:sz w:val="20"/>
          <w:szCs w:val="20"/>
          <w:lang w:val="en-GB" w:eastAsia="en-US"/>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RP-221229, Revised SI: Study on NR Network-controlled Repeaters</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rPr>
        <w:t>3</w:t>
      </w:r>
      <w:r>
        <w:rPr>
          <w:rFonts w:ascii="Arial" w:hAnsi="Arial" w:eastAsia="宋体" w:cs="Arial"/>
          <w:kern w:val="0"/>
          <w:sz w:val="20"/>
          <w:szCs w:val="20"/>
          <w:lang w:val="en-GB"/>
        </w:rPr>
        <w:t>GPP TR 38.867, Study on NR network-controlled repeaters;</w:t>
      </w:r>
      <w:r>
        <w:rPr>
          <w:rFonts w:hint="eastAsia" w:ascii="Arial" w:hAnsi="Arial" w:eastAsia="宋体" w:cs="Arial"/>
          <w:kern w:val="0"/>
          <w:sz w:val="20"/>
          <w:szCs w:val="20"/>
          <w:lang w:val="en-GB"/>
        </w:rPr>
        <w:t xml:space="preserve"> </w:t>
      </w:r>
      <w:r>
        <w:rPr>
          <w:rFonts w:ascii="Arial" w:hAnsi="Arial" w:eastAsia="宋体" w:cs="Arial"/>
          <w:kern w:val="0"/>
          <w:sz w:val="20"/>
          <w:szCs w:val="20"/>
          <w:lang w:val="en-GB"/>
        </w:rPr>
        <w:t>(Release 18)</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ascii="Arial" w:hAnsi="Arial" w:eastAsia="宋体" w:cs="Arial"/>
          <w:kern w:val="0"/>
          <w:sz w:val="20"/>
          <w:szCs w:val="20"/>
          <w:lang w:val="en-GB"/>
        </w:rPr>
        <w:t>3GPP TS 23.502, Procedures for the 5G System (5GS); Stage 2</w:t>
      </w:r>
      <w:r>
        <w:rPr>
          <w:rFonts w:hint="eastAsia" w:ascii="Arial" w:hAnsi="Arial" w:eastAsia="宋体" w:cs="Arial"/>
          <w:kern w:val="0"/>
          <w:sz w:val="20"/>
          <w:szCs w:val="20"/>
          <w:lang w:val="en-GB"/>
        </w:rPr>
        <w:t xml:space="preserve"> </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ascii="Arial" w:hAnsi="Arial" w:eastAsia="宋体" w:cs="Arial"/>
          <w:kern w:val="0"/>
          <w:sz w:val="20"/>
          <w:szCs w:val="20"/>
          <w:lang w:val="en-GB"/>
        </w:rPr>
        <w:t>3GPP TS 38.331, NR; Radio R</w:t>
      </w:r>
      <w:r>
        <w:rPr>
          <w:rFonts w:hint="eastAsia" w:ascii="Arial" w:hAnsi="Arial" w:eastAsia="宋体" w:cs="Arial"/>
          <w:kern w:val="0"/>
          <w:sz w:val="20"/>
          <w:szCs w:val="20"/>
          <w:lang w:val="en-GB"/>
        </w:rPr>
        <w:t>esource</w:t>
      </w:r>
      <w:r>
        <w:rPr>
          <w:rFonts w:ascii="Arial" w:hAnsi="Arial" w:eastAsia="宋体" w:cs="Arial"/>
          <w:kern w:val="0"/>
          <w:sz w:val="20"/>
          <w:szCs w:val="20"/>
          <w:lang w:val="en-GB"/>
        </w:rPr>
        <w:t xml:space="preserve"> Control (RRC) protocol specification</w:t>
      </w:r>
    </w:p>
    <w:p>
      <w:pPr>
        <w:widowControl/>
        <w:numPr>
          <w:ilvl w:val="0"/>
          <w:numId w:val="2"/>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ascii="Arial" w:hAnsi="Arial" w:eastAsia="宋体" w:cs="Arial"/>
          <w:kern w:val="0"/>
          <w:sz w:val="20"/>
          <w:szCs w:val="20"/>
          <w:lang w:val="en-GB"/>
        </w:rPr>
        <w:t xml:space="preserve">3GPP TS 38.413, NG-RAN; NG Application Protocol (NGAP) </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262B6"/>
    <w:multiLevelType w:val="multilevel"/>
    <w:tmpl w:val="104262B6"/>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06925"/>
    <w:rsid w:val="00196A53"/>
    <w:rsid w:val="001E2496"/>
    <w:rsid w:val="001F7978"/>
    <w:rsid w:val="002215C2"/>
    <w:rsid w:val="002217F4"/>
    <w:rsid w:val="00225D63"/>
    <w:rsid w:val="0023355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B2FE7"/>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6399A"/>
    <w:rsid w:val="00894A29"/>
    <w:rsid w:val="008A5A0B"/>
    <w:rsid w:val="008D110D"/>
    <w:rsid w:val="008E4F97"/>
    <w:rsid w:val="00940BA3"/>
    <w:rsid w:val="00950D36"/>
    <w:rsid w:val="00956A27"/>
    <w:rsid w:val="00982B04"/>
    <w:rsid w:val="009924F0"/>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53226"/>
    <w:rsid w:val="00C95F8C"/>
    <w:rsid w:val="00CD18ED"/>
    <w:rsid w:val="00CF1C01"/>
    <w:rsid w:val="00CF2DAA"/>
    <w:rsid w:val="00D66BFB"/>
    <w:rsid w:val="00D9059D"/>
    <w:rsid w:val="00DA12B1"/>
    <w:rsid w:val="00DA6656"/>
    <w:rsid w:val="00DE5620"/>
    <w:rsid w:val="00E513DD"/>
    <w:rsid w:val="00E82408"/>
    <w:rsid w:val="00ED765C"/>
    <w:rsid w:val="00EF5EE1"/>
    <w:rsid w:val="00F02DFE"/>
    <w:rsid w:val="00F032CD"/>
    <w:rsid w:val="00F05AB0"/>
    <w:rsid w:val="00F0760F"/>
    <w:rsid w:val="00F33D13"/>
    <w:rsid w:val="00F47D8B"/>
    <w:rsid w:val="00F627D0"/>
    <w:rsid w:val="00F841B6"/>
    <w:rsid w:val="00F92EA1"/>
    <w:rsid w:val="036B1275"/>
    <w:rsid w:val="173B58F9"/>
    <w:rsid w:val="22073456"/>
    <w:rsid w:val="25A57EAB"/>
    <w:rsid w:val="286B162D"/>
    <w:rsid w:val="3BA475FE"/>
    <w:rsid w:val="48EA1893"/>
    <w:rsid w:val="5F600D4E"/>
    <w:rsid w:val="715360B9"/>
    <w:rsid w:val="7D130633"/>
    <w:rsid w:val="7FE87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customStyle="1" w:styleId="9">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0">
    <w:name w:val="TF"/>
    <w:basedOn w:val="9"/>
    <w:qFormat/>
    <w:uiPriority w:val="0"/>
    <w:pPr>
      <w:keepNext w:val="0"/>
      <w:spacing w:before="0" w:after="240"/>
    </w:pPr>
  </w:style>
  <w:style w:type="paragraph" w:styleId="11">
    <w:name w:val="List Paragraph"/>
    <w:basedOn w:val="1"/>
    <w:qFormat/>
    <w:uiPriority w:val="34"/>
    <w:pPr>
      <w:ind w:firstLine="420" w:firstLineChars="200"/>
    </w:pPr>
  </w:style>
  <w:style w:type="paragraph" w:customStyle="1" w:styleId="1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1662</Words>
  <Characters>9478</Characters>
  <Lines>78</Lines>
  <Paragraphs>22</Paragraphs>
  <TotalTime>1</TotalTime>
  <ScaleCrop>false</ScaleCrop>
  <LinksUpToDate>false</LinksUpToDate>
  <CharactersWithSpaces>11118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2022-08-03T06:38:00Z</dcterms:created>
  <dc:creator>CMCC_TJY</dc:creator>
  <cp:lastModifiedBy>cmcc</cp:lastModifiedBy>
  <dcterms:modified xsi:type="dcterms:W3CDTF">2022-08-10T07:20:49Z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9B098CA5ED534BB6A3C61C451FE5AA09</vt:lpwstr>
  </property>
</Properties>
</file>